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90" w:right="-720" w:firstLine="0"/>
        <w:jc w:val="center"/>
        <w:rPr>
          <w:rFonts w:ascii="Times New Roman" w:cs="Times New Roman" w:eastAsia="Times New Roman" w:hAnsi="Times New Roman"/>
          <w:b w:val="1"/>
          <w:color w:val="000000"/>
          <w:sz w:val="27"/>
          <w:szCs w:val="27"/>
        </w:rPr>
      </w:pPr>
      <w:bookmarkStart w:colFirst="0" w:colLast="0" w:name="_heading=h.gjdgxs" w:id="0"/>
      <w:bookmarkEnd w:id="0"/>
      <w:r w:rsidDel="00000000" w:rsidR="00000000" w:rsidRPr="00000000">
        <w:rPr>
          <w:rFonts w:ascii="Times New Roman" w:cs="Times New Roman" w:eastAsia="Times New Roman" w:hAnsi="Times New Roman"/>
          <w:b w:val="1"/>
          <w:sz w:val="27"/>
          <w:szCs w:val="27"/>
          <w:rtl w:val="0"/>
        </w:rPr>
        <w:t xml:space="preserve">Scotia Union </w:t>
      </w:r>
      <w:r w:rsidDel="00000000" w:rsidR="00000000" w:rsidRPr="00000000">
        <w:rPr>
          <w:rFonts w:ascii="Times New Roman" w:cs="Times New Roman" w:eastAsia="Times New Roman" w:hAnsi="Times New Roman"/>
          <w:b w:val="1"/>
          <w:color w:val="000000"/>
          <w:sz w:val="27"/>
          <w:szCs w:val="27"/>
          <w:rtl w:val="0"/>
        </w:rPr>
        <w:t xml:space="preserve">School District</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90" w:right="-72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color w:val="000000"/>
          <w:sz w:val="27"/>
          <w:szCs w:val="27"/>
          <w:rtl w:val="0"/>
        </w:rPr>
        <w:t xml:space="preserve">Parental Involvement Policy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left="90" w:right="-90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i w:val="1"/>
          <w:color w:val="000000"/>
          <w:sz w:val="24"/>
          <w:szCs w:val="24"/>
          <w:rtl w:val="0"/>
        </w:rPr>
        <w:t xml:space="preserve">In support of strengthening student academic achievement, each school that receives Title I, Part A funds must develop jointly with, agree on with, and distribute to, parents of participating children a written parental involvement policy that contains information required by section 1118 of the Elementary and Secondary Education Act (ESEA) (parental involvement policy).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90" w:right="-900" w:hanging="9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left="90" w:right="-900" w:hanging="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color w:val="000000"/>
          <w:sz w:val="24"/>
          <w:szCs w:val="24"/>
          <w:rtl w:val="0"/>
        </w:rPr>
        <w:t xml:space="preserve">PART I. GENERAL EXPECTATIONS</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7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Stanwood A. Murphy Elementary School, </w:t>
      </w:r>
      <w:r w:rsidDel="00000000" w:rsidR="00000000" w:rsidRPr="00000000">
        <w:rPr>
          <w:rFonts w:ascii="Times New Roman" w:cs="Times New Roman" w:eastAsia="Times New Roman" w:hAnsi="Times New Roman"/>
          <w:sz w:val="24"/>
          <w:szCs w:val="24"/>
          <w:rtl w:val="0"/>
        </w:rPr>
        <w:t xml:space="preserve">Scotia Union School District, </w:t>
      </w:r>
      <w:r w:rsidDel="00000000" w:rsidR="00000000" w:rsidRPr="00000000">
        <w:rPr>
          <w:rFonts w:ascii="Times New Roman" w:cs="Times New Roman" w:eastAsia="Times New Roman" w:hAnsi="Times New Roman"/>
          <w:color w:val="000000"/>
          <w:sz w:val="24"/>
          <w:szCs w:val="24"/>
          <w:rtl w:val="0"/>
        </w:rPr>
        <w:t xml:space="preserve">agrees to implement the following statutory requirements: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78" w:line="240" w:lineRule="auto"/>
        <w:ind w:right="-90"/>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Consistent with section 1118, the school will work to ensure that the required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school level parental involvement policies meet the requirements of section 1118 of the ESEA, and each include, as a component, a school-parent compact consistent with section 1118(d) of the ESEA.</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78" w:line="240" w:lineRule="auto"/>
        <w:ind w:right="-720"/>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78"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right="-72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the language parents understand.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92" w:line="240" w:lineRule="auto"/>
        <w:ind w:right="-72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92" w:line="240" w:lineRule="auto"/>
        <w:ind w:right="-72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school will involve the parents of children served in Title I, Part A schools in decisions about how the 1 percent of Title I, Part A funds reserved for parental involvement is spent, and will ensure that not less than 95 percent of the 1 percent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reserved goes directly to the schools.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97" w:line="240" w:lineRule="auto"/>
        <w:ind w:right="-72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97" w:line="240" w:lineRule="auto"/>
        <w:ind w:right="-72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school will provide other reasonable support for parental involvement activities under section 1118 of the ESEA as the parents may request.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92" w:line="240" w:lineRule="auto"/>
        <w:ind w:right="-63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school will be governed by the following statutory definition of parental involvement, and will carry out programs, activities, and procedures in accordance with this definition: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78" w:line="240" w:lineRule="auto"/>
        <w:ind w:right="-72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Parental involvement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73" w:line="240" w:lineRule="auto"/>
        <w:ind w:left="1080" w:right="5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 that parents play an integral role in assisting their child’s learning;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78" w:line="240" w:lineRule="auto"/>
        <w:ind w:left="108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(B) that parents are encouraged to be actively involved in their child’s education at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33"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school</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78" w:line="240" w:lineRule="auto"/>
        <w:ind w:left="1080" w:right="633"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 that parents are full partners in their child’s education and are included, as appropriate, in decision-making and on advisory committees to assist in the education of their child;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73" w:line="240" w:lineRule="auto"/>
        <w:ind w:left="1080" w:right="115"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 the carrying out of other activities, such as those described in section 1118 o</w:t>
      </w:r>
      <w:r w:rsidDel="00000000" w:rsidR="00000000" w:rsidRPr="00000000">
        <w:rPr>
          <w:rFonts w:ascii="Times New Roman" w:cs="Times New Roman" w:eastAsia="Times New Roman" w:hAnsi="Times New Roman"/>
          <w:i w:val="1"/>
          <w:sz w:val="24"/>
          <w:szCs w:val="24"/>
          <w:rtl w:val="0"/>
        </w:rPr>
        <w:t xml:space="preserve">f </w:t>
      </w:r>
      <w:r w:rsidDel="00000000" w:rsidR="00000000" w:rsidRPr="00000000">
        <w:rPr>
          <w:rFonts w:ascii="Times New Roman" w:cs="Times New Roman" w:eastAsia="Times New Roman" w:hAnsi="Times New Roman"/>
          <w:i w:val="1"/>
          <w:color w:val="000000"/>
          <w:sz w:val="24"/>
          <w:szCs w:val="24"/>
          <w:rtl w:val="0"/>
        </w:rPr>
        <w:t xml:space="preserve">the ESEA</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right="33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right="33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right="335"/>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II. DESCRIPTION OF HOW SCHOOLS WILL IMPLEMENT REQUIRED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33" w:line="240" w:lineRule="auto"/>
        <w:ind w:right="-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SCHOOL PARENTAL INVOLVEMENT POLICY COMPONENTS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33" w:line="240" w:lineRule="auto"/>
        <w:ind w:left="1440" w:right="8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33" w:line="240" w:lineRule="auto"/>
        <w:ind w:right="-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School Parental Involvement Policy must include a description of how the district will implement or accomplish each of the following components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[Section 1118, ESEA.] </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3" w:line="240" w:lineRule="auto"/>
        <w:ind w:right="8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33"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color w:val="000000"/>
          <w:sz w:val="24"/>
          <w:szCs w:val="24"/>
          <w:rtl w:val="0"/>
        </w:rPr>
        <w:t xml:space="preserve"> will take the following actions to involve parents in the joint development of its school parental involvement plan under section 1118 of the ESEA:</w:t>
      </w:r>
      <w:r w:rsidDel="00000000" w:rsidR="00000000" w:rsidRPr="00000000">
        <w:rPr>
          <w:rFonts w:ascii="Times New Roman" w:cs="Times New Roman" w:eastAsia="Times New Roman" w:hAnsi="Times New Roman"/>
          <w:sz w:val="24"/>
          <w:szCs w:val="24"/>
          <w:rtl w:val="0"/>
        </w:rPr>
        <w:t xml:space="preserve">  Site Council and School Board will review parental involvement policy annually.</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585" w:line="240" w:lineRule="auto"/>
        <w:ind w:righ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2. The </w:t>
      </w:r>
      <w:r w:rsidDel="00000000" w:rsidR="00000000" w:rsidRPr="00000000">
        <w:rPr>
          <w:rFonts w:ascii="Times New Roman" w:cs="Times New Roman" w:eastAsia="Times New Roman" w:hAnsi="Times New Roman"/>
          <w:sz w:val="24"/>
          <w:szCs w:val="24"/>
          <w:rtl w:val="0"/>
        </w:rPr>
        <w:t xml:space="preserve">Scotia Union School District </w:t>
      </w:r>
      <w:r w:rsidDel="00000000" w:rsidR="00000000" w:rsidRPr="00000000">
        <w:rPr>
          <w:rFonts w:ascii="Times New Roman" w:cs="Times New Roman" w:eastAsia="Times New Roman" w:hAnsi="Times New Roman"/>
          <w:color w:val="000000"/>
          <w:sz w:val="24"/>
          <w:szCs w:val="24"/>
          <w:rtl w:val="0"/>
        </w:rPr>
        <w:t xml:space="preserve">will take the following actions to involve parents in the process of school review and improvement under section 1116 of the ESEA:  </w:t>
      </w:r>
      <w:r w:rsidDel="00000000" w:rsidR="00000000" w:rsidRPr="00000000">
        <w:rPr>
          <w:rFonts w:ascii="Times New Roman" w:cs="Times New Roman" w:eastAsia="Times New Roman" w:hAnsi="Times New Roman"/>
          <w:sz w:val="24"/>
          <w:szCs w:val="24"/>
          <w:rtl w:val="0"/>
        </w:rPr>
        <w:t xml:space="preserve">Site Council, Stakeholder, and School Board meetings will be held annually to review parent involvement in school review and improvement.</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585" w:line="240" w:lineRule="auto"/>
        <w:ind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The </w:t>
      </w:r>
      <w:r w:rsidDel="00000000" w:rsidR="00000000" w:rsidRPr="00000000">
        <w:rPr>
          <w:rFonts w:ascii="Times New Roman" w:cs="Times New Roman" w:eastAsia="Times New Roman" w:hAnsi="Times New Roman"/>
          <w:sz w:val="24"/>
          <w:szCs w:val="24"/>
          <w:rtl w:val="0"/>
        </w:rPr>
        <w:t xml:space="preserve">Scotia Union School District </w:t>
      </w:r>
      <w:r w:rsidDel="00000000" w:rsidR="00000000" w:rsidRPr="00000000">
        <w:rPr>
          <w:rFonts w:ascii="Times New Roman" w:cs="Times New Roman" w:eastAsia="Times New Roman" w:hAnsi="Times New Roman"/>
          <w:color w:val="000000"/>
          <w:sz w:val="24"/>
          <w:szCs w:val="24"/>
          <w:rtl w:val="0"/>
        </w:rPr>
        <w:t xml:space="preserve">will hold an annual meeting to inform parents of the school’s participation in Title I, Part A programs, and to explain the Title I, Part A requirements and the right of parents to be involved in Title I, Part A programs. The school will invite all parents of children participating in Title I, Part A programs to this meeting, and will encourage them to attend, by </w:t>
      </w:r>
      <w:r w:rsidDel="00000000" w:rsidR="00000000" w:rsidRPr="00000000">
        <w:rPr>
          <w:rFonts w:ascii="Times New Roman" w:cs="Times New Roman" w:eastAsia="Times New Roman" w:hAnsi="Times New Roman"/>
          <w:sz w:val="24"/>
          <w:szCs w:val="24"/>
          <w:rtl w:val="0"/>
        </w:rPr>
        <w:t xml:space="preserve">including notice of public meetings in monthly newsletter or other means of school to parent communication, and scheduling the meeting at a time most convenient for parents.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585" w:line="240" w:lineRule="auto"/>
        <w:ind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nnual notice</w:t>
      </w:r>
      <w:r w:rsidDel="00000000" w:rsidR="00000000" w:rsidRPr="00000000">
        <w:rPr>
          <w:rFonts w:ascii="Times New Roman" w:cs="Times New Roman" w:eastAsia="Times New Roman" w:hAnsi="Times New Roman"/>
          <w:sz w:val="24"/>
          <w:szCs w:val="24"/>
          <w:rtl w:val="0"/>
        </w:rPr>
        <w:t xml:space="preserve"> to parents.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right="-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at the request of parents, provide opportunities for regular meetings for parents to formulate suggestions and to participate, as appropriate, in decisions about the education of their children. The school will respond to any such suggestions as soon as practicably possible by </w:t>
      </w:r>
      <w:r w:rsidDel="00000000" w:rsidR="00000000" w:rsidRPr="00000000">
        <w:rPr>
          <w:rFonts w:ascii="Times New Roman" w:cs="Times New Roman" w:eastAsia="Times New Roman" w:hAnsi="Times New Roman"/>
          <w:sz w:val="24"/>
          <w:szCs w:val="24"/>
          <w:rtl w:val="0"/>
        </w:rPr>
        <w:t xml:space="preserve">scheduling and holding parent conferences and meetings as requested.</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right="25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right="-63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6.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provide each parent an individual student report about the performance of their child on the State assessment in at least math, language arts, and reading by providing electronic state assessment student </w:t>
      </w:r>
      <w:r w:rsidDel="00000000" w:rsidR="00000000" w:rsidRPr="00000000">
        <w:rPr>
          <w:rFonts w:ascii="Times New Roman" w:cs="Times New Roman" w:eastAsia="Times New Roman" w:hAnsi="Times New Roman"/>
          <w:sz w:val="24"/>
          <w:szCs w:val="24"/>
          <w:rtl w:val="0"/>
        </w:rPr>
        <w:t xml:space="preserve">score reports</w:t>
      </w:r>
      <w:r w:rsidDel="00000000" w:rsidR="00000000" w:rsidRPr="00000000">
        <w:rPr>
          <w:rFonts w:ascii="Times New Roman" w:cs="Times New Roman" w:eastAsia="Times New Roman" w:hAnsi="Times New Roman"/>
          <w:color w:val="000000"/>
          <w:sz w:val="24"/>
          <w:szCs w:val="24"/>
          <w:rtl w:val="0"/>
        </w:rPr>
        <w:t xml:space="preserve"> to parents through the District’s school information system, “Schoolwise”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right="-63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right="-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r w:rsidDel="00000000" w:rsidR="00000000" w:rsidRPr="00000000">
        <w:rPr>
          <w:rFonts w:ascii="Times New Roman" w:cs="Times New Roman" w:eastAsia="Times New Roman" w:hAnsi="Times New Roman"/>
          <w:sz w:val="24"/>
          <w:szCs w:val="24"/>
          <w:rtl w:val="0"/>
        </w:rPr>
        <w:t xml:space="preserve">providing written notification to parent.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590" w:line="240" w:lineRule="auto"/>
        <w:ind w:right="-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color w:val="000000"/>
          <w:sz w:val="24"/>
          <w:szCs w:val="24"/>
          <w:rtl w:val="0"/>
        </w:rPr>
        <w:t xml:space="preserve"> will provide assistance to parents of children served by the school, as appropriate, in understanding topics by undertaking the actions described in this paragraph </w:t>
      </w:r>
      <w:r w:rsidDel="00000000" w:rsidR="00000000" w:rsidRPr="00000000">
        <w:rPr>
          <w:rFonts w:ascii="Times New Roman" w:cs="Times New Roman" w:eastAsia="Times New Roman" w:hAnsi="Times New Roman"/>
          <w:sz w:val="24"/>
          <w:szCs w:val="24"/>
          <w:rtl w:val="0"/>
        </w:rPr>
        <w:t xml:space="preserve">through regular and frequent parent communication, including parent-teacher conferences:</w:t>
        <w:tab/>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590" w:line="240" w:lineRule="auto"/>
        <w:ind w:left="720" w:right="-630" w:firstLine="720"/>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state’s academic content standards, </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52" w:line="240" w:lineRule="auto"/>
        <w:ind w:left="1440" w:right="2572"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state’s student academic achievement standards,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52" w:line="240" w:lineRule="auto"/>
        <w:ind w:left="1440" w:right="513"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state and local academic assessments including alternate assessments,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52" w:line="240" w:lineRule="auto"/>
        <w:ind w:left="1440" w:right="4953"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requirements of Part A,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57" w:line="240" w:lineRule="auto"/>
        <w:ind w:left="1440" w:right="3527"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how to monitor their child’s progress, and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52" w:line="240" w:lineRule="auto"/>
        <w:ind w:left="1440" w:right="4814"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how to work with educators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312" w:line="240" w:lineRule="auto"/>
        <w:ind w:left="720" w:right="312" w:firstLine="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right="-7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provide materials and training to help parents work with their children to improve their children’s academic achievement, such as literacy training and using technology, as appropriate, to foster parental involvement, by</w:t>
      </w:r>
      <w:r w:rsidDel="00000000" w:rsidR="00000000" w:rsidRPr="00000000">
        <w:rPr>
          <w:rFonts w:ascii="Times New Roman" w:cs="Times New Roman" w:eastAsia="Times New Roman" w:hAnsi="Times New Roman"/>
          <w:sz w:val="24"/>
          <w:szCs w:val="24"/>
          <w:rtl w:val="0"/>
        </w:rPr>
        <w:t xml:space="preserve"> providing materials at parent teacher conferences and other school functions, and offering training sessions for parents at school functions such as Back to School Night, Open House, and parent conferences.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590" w:line="240" w:lineRule="auto"/>
        <w:ind w:right="-63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with the assistance of its parents, educate its teachers, pupil services personnel, principal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other staff in how to reach out to, communicate with, and work with parents as equal partners in the value and utility of contributions of parents, and in how to implement and coordinate parent programs and build ties between parents and schools, </w:t>
      </w:r>
      <w:r w:rsidDel="00000000" w:rsidR="00000000" w:rsidRPr="00000000">
        <w:rPr>
          <w:rFonts w:ascii="Times New Roman" w:cs="Times New Roman" w:eastAsia="Times New Roman" w:hAnsi="Times New Roman"/>
          <w:sz w:val="24"/>
          <w:szCs w:val="24"/>
          <w:rtl w:val="0"/>
        </w:rPr>
        <w:t xml:space="preserve">through joint parent and staff groups, such as Parent Teacher Organization, as well as annual discussions and trainings.</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585" w:line="240" w:lineRule="auto"/>
        <w:ind w:right="-63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color w:val="000000"/>
          <w:sz w:val="24"/>
          <w:szCs w:val="24"/>
          <w:rtl w:val="0"/>
        </w:rPr>
        <w:t xml:space="preserve"> 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 </w:t>
      </w:r>
      <w:r w:rsidDel="00000000" w:rsidR="00000000" w:rsidRPr="00000000">
        <w:rPr>
          <w:rFonts w:ascii="Times New Roman" w:cs="Times New Roman" w:eastAsia="Times New Roman" w:hAnsi="Times New Roman"/>
          <w:sz w:val="24"/>
          <w:szCs w:val="24"/>
          <w:rtl w:val="0"/>
        </w:rPr>
        <w:t xml:space="preserve">reaching out to locally available programs to coordinate services.</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585" w:line="24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The</w:t>
      </w:r>
      <w:r w:rsidDel="00000000" w:rsidR="00000000" w:rsidRPr="00000000">
        <w:rPr>
          <w:rFonts w:ascii="Times New Roman" w:cs="Times New Roman" w:eastAsia="Times New Roman" w:hAnsi="Times New Roman"/>
          <w:sz w:val="24"/>
          <w:szCs w:val="24"/>
          <w:rtl w:val="0"/>
        </w:rPr>
        <w:t xml:space="preserve"> Scotia Union School District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r w:rsidDel="00000000" w:rsidR="00000000" w:rsidRPr="00000000">
        <w:rPr>
          <w:rFonts w:ascii="Times New Roman" w:cs="Times New Roman" w:eastAsia="Times New Roman" w:hAnsi="Times New Roman"/>
          <w:sz w:val="24"/>
          <w:szCs w:val="24"/>
          <w:rtl w:val="0"/>
        </w:rPr>
        <w:t xml:space="preserve">through monthly newsletters, parent letters, computerized all calls, and social media posts.</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78" w:line="240" w:lineRule="auto"/>
        <w:ind w:right="45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I</w:t>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b w:val="1"/>
          <w:color w:val="000000"/>
          <w:sz w:val="24"/>
          <w:szCs w:val="24"/>
          <w:rtl w:val="0"/>
        </w:rPr>
        <w:t xml:space="preserve">. ADOPTION</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12" w:line="240" w:lineRule="auto"/>
        <w:ind w:right="331"/>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policy was adopted by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color w:val="000000"/>
          <w:sz w:val="24"/>
          <w:szCs w:val="24"/>
          <w:rtl w:val="0"/>
        </w:rPr>
        <w:t xml:space="preserve"> on </w:t>
      </w:r>
      <w:r w:rsidDel="00000000" w:rsidR="00000000" w:rsidRPr="00000000">
        <w:rPr>
          <w:rFonts w:ascii="Times New Roman" w:cs="Times New Roman" w:eastAsia="Times New Roman" w:hAnsi="Times New Roman"/>
          <w:sz w:val="24"/>
          <w:szCs w:val="24"/>
          <w:rtl w:val="0"/>
        </w:rPr>
        <w:t xml:space="preserve">February 9, 2021,</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will be in effect for the period of </w:t>
      </w:r>
      <w:r w:rsidDel="00000000" w:rsidR="00000000" w:rsidRPr="00000000">
        <w:rPr>
          <w:rFonts w:ascii="Times New Roman" w:cs="Times New Roman" w:eastAsia="Times New Roman" w:hAnsi="Times New Roman"/>
          <w:sz w:val="24"/>
          <w:szCs w:val="24"/>
          <w:rtl w:val="0"/>
        </w:rPr>
        <w:t xml:space="preserve">1 year.</w:t>
      </w:r>
      <w:r w:rsidDel="00000000" w:rsidR="00000000" w:rsidRPr="00000000">
        <w:rPr>
          <w:rFonts w:ascii="Times New Roman" w:cs="Times New Roman" w:eastAsia="Times New Roman" w:hAnsi="Times New Roman"/>
          <w:color w:val="000000"/>
          <w:sz w:val="24"/>
          <w:szCs w:val="24"/>
          <w:rtl w:val="0"/>
        </w:rPr>
        <w:t xml:space="preserve"> The school will distribute this policy to all parents of participating Title I, Part A children on or before November 1</w:t>
      </w:r>
      <w:r w:rsidDel="00000000" w:rsidR="00000000" w:rsidRPr="00000000">
        <w:rPr>
          <w:rFonts w:ascii="Times New Roman" w:cs="Times New Roman" w:eastAsia="Times New Roman" w:hAnsi="Times New Roman"/>
          <w:sz w:val="24"/>
          <w:szCs w:val="24"/>
          <w:rtl w:val="0"/>
        </w:rPr>
        <w:t xml:space="preserve"> of each school year.</w:t>
      </w:r>
      <w:r w:rsidDel="00000000" w:rsidR="00000000" w:rsidRPr="00000000">
        <w:rPr>
          <w:rtl w:val="0"/>
        </w:rPr>
      </w:r>
    </w:p>
    <w:sectPr>
      <w:pgSz w:h="15840" w:w="12240" w:orient="portrait"/>
      <w:pgMar w:bottom="720" w:top="72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t/T8vv3mmP1Ovz9L9LciPqwdg==">AMUW2mWERIbiX8K/cWhA5RMcYj2s3t0hmPUbGpMTbSxpDXNFkHtP3NnOmRQNoec7xnM0yd5z9sw9N1MwkCx8JE3qD3NGI2n8lsxDOeM+dwEFv15CuQSwsueYab+/cI+6RWVexMwhsvku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2020-02-11T03:45:00Z</dcterms:created>
  <dc:creator>Amy Gossien</dc:creator>
</cp:coreProperties>
</file>