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Library</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6">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February 6, 2020</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0D">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 </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Threatened or anticipated litigation, Govt. Code  54956.9(d)(1), (d)(2)</w:t>
      </w:r>
    </w:p>
    <w:p w:rsidR="00000000" w:rsidDel="00000000" w:rsidP="00000000" w:rsidRDefault="00000000" w:rsidRPr="00000000" w14:paraId="0000000E">
      <w:pPr>
        <w:spacing w:line="240" w:lineRule="auto"/>
        <w:ind w:left="360" w:firstLine="0"/>
        <w:rPr>
          <w:rFonts w:ascii="Lato" w:cs="Lato" w:eastAsia="Lato" w:hAnsi="Lato"/>
        </w:rPr>
      </w:pPr>
      <w:r w:rsidDel="00000000" w:rsidR="00000000" w:rsidRPr="00000000">
        <w:rPr>
          <w:rFonts w:ascii="Lato" w:cs="Lato" w:eastAsia="Lato" w:hAnsi="Lato"/>
          <w:rtl w:val="0"/>
        </w:rPr>
        <w:tab/>
        <w:t xml:space="preserve">4.2  </w:t>
      </w:r>
      <w:r w:rsidDel="00000000" w:rsidR="00000000" w:rsidRPr="00000000">
        <w:rPr>
          <w:rFonts w:ascii="Lato" w:cs="Lato" w:eastAsia="Lato" w:hAnsi="Lato"/>
          <w:color w:val="222222"/>
          <w:highlight w:val="white"/>
          <w:rtl w:val="0"/>
        </w:rPr>
        <w:t xml:space="preserve">Conference with Legal Counsel Regarding Anticipated Litigation, Govt. Code 54956.9(d)(2)</w:t>
      </w:r>
      <w:r w:rsidDel="00000000" w:rsidR="00000000" w:rsidRPr="00000000">
        <w:rPr>
          <w:rtl w:val="0"/>
        </w:rPr>
      </w:r>
    </w:p>
    <w:p w:rsidR="00000000" w:rsidDel="00000000" w:rsidP="00000000" w:rsidRDefault="00000000" w:rsidRPr="00000000" w14:paraId="0000000F">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10">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1">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5.1</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Report Action taken in Closed Session, if required by law</w:t>
      </w:r>
    </w:p>
    <w:p w:rsidR="00000000" w:rsidDel="00000000" w:rsidP="00000000" w:rsidRDefault="00000000" w:rsidRPr="00000000" w14:paraId="00000012">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3">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Consent Agenda</w:t>
      </w:r>
    </w:p>
    <w:p w:rsidR="00000000" w:rsidDel="00000000" w:rsidP="00000000" w:rsidRDefault="00000000" w:rsidRPr="00000000" w14:paraId="00000014">
      <w:pPr>
        <w:spacing w:line="240" w:lineRule="auto"/>
        <w:ind w:left="0" w:firstLine="720"/>
        <w:rPr>
          <w:rFonts w:ascii="Lato" w:cs="Lato" w:eastAsia="Lato" w:hAnsi="Lato"/>
        </w:rPr>
      </w:pPr>
      <w:r w:rsidDel="00000000" w:rsidR="00000000" w:rsidRPr="00000000">
        <w:rPr>
          <w:rFonts w:ascii="Lato" w:cs="Lato" w:eastAsia="Lato" w:hAnsi="Lato"/>
          <w:rtl w:val="0"/>
        </w:rPr>
        <w:t xml:space="preserve">6.1</w:t>
        <w:tab/>
      </w:r>
      <w:r w:rsidDel="00000000" w:rsidR="00000000" w:rsidRPr="00000000">
        <w:rPr>
          <w:rFonts w:ascii="Lato" w:cs="Lato" w:eastAsia="Lato" w:hAnsi="Lato"/>
          <w:rtl w:val="0"/>
        </w:rPr>
        <w:t xml:space="preserve">Approval of Minutes from January 9, 2020</w:t>
      </w:r>
    </w:p>
    <w:p w:rsidR="00000000" w:rsidDel="00000000" w:rsidP="00000000" w:rsidRDefault="00000000" w:rsidRPr="00000000" w14:paraId="00000015">
      <w:pPr>
        <w:spacing w:line="240" w:lineRule="auto"/>
        <w:ind w:left="0" w:firstLine="720"/>
        <w:rPr>
          <w:rFonts w:ascii="Lato" w:cs="Lato" w:eastAsia="Lato" w:hAnsi="Lato"/>
        </w:rPr>
      </w:pPr>
      <w:r w:rsidDel="00000000" w:rsidR="00000000" w:rsidRPr="00000000">
        <w:rPr>
          <w:rFonts w:ascii="Lato" w:cs="Lato" w:eastAsia="Lato" w:hAnsi="Lato"/>
          <w:rtl w:val="0"/>
        </w:rPr>
        <w:t xml:space="preserve">6.2</w:t>
        <w:tab/>
        <w:t xml:space="preserve">Approval of January warrants</w:t>
      </w:r>
    </w:p>
    <w:p w:rsidR="00000000" w:rsidDel="00000000" w:rsidP="00000000" w:rsidRDefault="00000000" w:rsidRPr="00000000" w14:paraId="0000001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7">
      <w:pPr>
        <w:spacing w:line="240" w:lineRule="auto"/>
        <w:rPr>
          <w:rFonts w:ascii="Lato" w:cs="Lato" w:eastAsia="Lato" w:hAnsi="Lato"/>
          <w:b w:val="1"/>
        </w:rPr>
      </w:pPr>
      <w:r w:rsidDel="00000000" w:rsidR="00000000" w:rsidRPr="00000000">
        <w:rPr>
          <w:rFonts w:ascii="Lato" w:cs="Lato" w:eastAsia="Lato" w:hAnsi="Lato"/>
          <w:b w:val="1"/>
          <w:rtl w:val="0"/>
        </w:rPr>
        <w:t xml:space="preserve">7.0</w:t>
        <w:tab/>
        <w:t xml:space="preserve">Community Comment</w:t>
      </w:r>
    </w:p>
    <w:p w:rsidR="00000000" w:rsidDel="00000000" w:rsidP="00000000" w:rsidRDefault="00000000" w:rsidRPr="00000000" w14:paraId="00000018">
      <w:pPr>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9">
      <w:pPr>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A">
      <w:pPr>
        <w:spacing w:line="240" w:lineRule="auto"/>
        <w:ind w:left="720" w:hanging="720"/>
        <w:jc w:val="both"/>
        <w:rPr>
          <w:rFonts w:ascii="Lato" w:cs="Lato" w:eastAsia="Lato" w:hAnsi="Lato"/>
          <w:b w:val="1"/>
        </w:rPr>
      </w:pPr>
      <w:r w:rsidDel="00000000" w:rsidR="00000000" w:rsidRPr="00000000">
        <w:rPr>
          <w:rFonts w:ascii="Lato" w:cs="Lato" w:eastAsia="Lato" w:hAnsi="Lato"/>
          <w:b w:val="1"/>
          <w:rtl w:val="0"/>
        </w:rPr>
        <w:t xml:space="preserve">8.0</w:t>
        <w:tab/>
        <w:t xml:space="preserve"> Community Comment Related to LCAP </w:t>
      </w:r>
    </w:p>
    <w:p w:rsidR="00000000" w:rsidDel="00000000" w:rsidP="00000000" w:rsidRDefault="00000000" w:rsidRPr="00000000" w14:paraId="0000001B">
      <w:pPr>
        <w:spacing w:line="240" w:lineRule="auto"/>
        <w:ind w:left="1440" w:hanging="720"/>
        <w:jc w:val="both"/>
        <w:rPr>
          <w:rFonts w:ascii="Lato" w:cs="Lato" w:eastAsia="Lato" w:hAnsi="Lato"/>
          <w:i w:val="1"/>
        </w:rPr>
      </w:pPr>
      <w:r w:rsidDel="00000000" w:rsidR="00000000" w:rsidRPr="00000000">
        <w:rPr>
          <w:rFonts w:ascii="Lato" w:cs="Lato" w:eastAsia="Lato" w:hAnsi="Lato"/>
          <w:i w:val="1"/>
          <w:rtl w:val="0"/>
        </w:rPr>
        <w:t xml:space="preserve">The public may provide input and discussion pertaining to the Local Control Accountability Plan in</w:t>
      </w:r>
    </w:p>
    <w:p w:rsidR="00000000" w:rsidDel="00000000" w:rsidP="00000000" w:rsidRDefault="00000000" w:rsidRPr="00000000" w14:paraId="0000001C">
      <w:pPr>
        <w:spacing w:line="240" w:lineRule="auto"/>
        <w:ind w:left="720" w:firstLine="0"/>
        <w:jc w:val="both"/>
        <w:rPr>
          <w:rFonts w:ascii="Lato" w:cs="Lato" w:eastAsia="Lato" w:hAnsi="Lato"/>
          <w:i w:val="1"/>
        </w:rPr>
      </w:pPr>
      <w:r w:rsidDel="00000000" w:rsidR="00000000" w:rsidRPr="00000000">
        <w:rPr>
          <w:rFonts w:ascii="Lato" w:cs="Lato" w:eastAsia="Lato" w:hAnsi="Lato"/>
          <w:i w:val="1"/>
          <w:rtl w:val="0"/>
        </w:rPr>
        <w:t xml:space="preserve">effort to address State Priority 8 (Increase opportunities for parents and families to be involved in</w:t>
      </w:r>
    </w:p>
    <w:p w:rsidR="00000000" w:rsidDel="00000000" w:rsidP="00000000" w:rsidRDefault="00000000" w:rsidRPr="00000000" w14:paraId="0000001D">
      <w:pPr>
        <w:spacing w:line="240" w:lineRule="auto"/>
        <w:ind w:left="1440" w:hanging="720"/>
        <w:jc w:val="both"/>
        <w:rPr>
          <w:rFonts w:ascii="Lato" w:cs="Lato" w:eastAsia="Lato" w:hAnsi="Lato"/>
        </w:rPr>
      </w:pPr>
      <w:r w:rsidDel="00000000" w:rsidR="00000000" w:rsidRPr="00000000">
        <w:rPr>
          <w:rFonts w:ascii="Lato" w:cs="Lato" w:eastAsia="Lato" w:hAnsi="Lato"/>
          <w:i w:val="1"/>
          <w:rtl w:val="0"/>
        </w:rPr>
        <w:t xml:space="preserve"> school decisions-making processes)</w:t>
      </w:r>
      <w:r w:rsidDel="00000000" w:rsidR="00000000" w:rsidRPr="00000000">
        <w:rPr>
          <w:rFonts w:ascii="Lato" w:cs="Lato" w:eastAsia="Lato" w:hAnsi="Lato"/>
          <w:rtl w:val="0"/>
        </w:rPr>
        <w:t xml:space="preserve">.</w:t>
      </w:r>
    </w:p>
    <w:p w:rsidR="00000000" w:rsidDel="00000000" w:rsidP="00000000" w:rsidRDefault="00000000" w:rsidRPr="00000000" w14:paraId="0000001E">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0">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1">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Prop 39 building projects</w:t>
      </w:r>
    </w:p>
    <w:p w:rsidR="00000000" w:rsidDel="00000000" w:rsidP="00000000" w:rsidRDefault="00000000" w:rsidRPr="00000000" w14:paraId="00000022">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.2</w:t>
        <w:tab/>
        <w:t xml:space="preserve">Enrollment</w:t>
      </w:r>
    </w:p>
    <w:p w:rsidR="00000000" w:rsidDel="00000000" w:rsidP="00000000" w:rsidRDefault="00000000" w:rsidRPr="00000000" w14:paraId="00000023">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Enrollment data as of February 1, 2020</w:t>
      </w:r>
    </w:p>
    <w:p w:rsidR="00000000" w:rsidDel="00000000" w:rsidP="00000000" w:rsidRDefault="00000000" w:rsidRPr="00000000" w14:paraId="00000024">
      <w:pPr>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9.3</w:t>
        <w:tab/>
        <w:t xml:space="preserve">Correspondence </w:t>
      </w:r>
    </w:p>
    <w:p w:rsidR="00000000" w:rsidDel="00000000" w:rsidP="00000000" w:rsidRDefault="00000000" w:rsidRPr="00000000" w14:paraId="00000025">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Letter from community member</w:t>
      </w:r>
    </w:p>
    <w:p w:rsidR="00000000" w:rsidDel="00000000" w:rsidP="00000000" w:rsidRDefault="00000000" w:rsidRPr="00000000" w14:paraId="00000026">
      <w:pPr>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9.4</w:t>
        <w:tab/>
        <w:t xml:space="preserve">Approval Letter for Request for Emergency Closure Day Allowance of Attendance</w:t>
      </w:r>
    </w:p>
    <w:p w:rsidR="00000000" w:rsidDel="00000000" w:rsidP="00000000" w:rsidRDefault="00000000" w:rsidRPr="00000000" w14:paraId="00000027">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Approval letter for District’s request for allowance of attendance due to the power outage </w:t>
      </w:r>
    </w:p>
    <w:p w:rsidR="00000000" w:rsidDel="00000000" w:rsidP="00000000" w:rsidRDefault="00000000" w:rsidRPr="00000000" w14:paraId="00000028">
      <w:pPr>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9.5</w:t>
        <w:tab/>
        <w:t xml:space="preserve">Form 700</w:t>
      </w:r>
    </w:p>
    <w:p w:rsidR="00000000" w:rsidDel="00000000" w:rsidP="00000000" w:rsidRDefault="00000000" w:rsidRPr="00000000" w14:paraId="00000029">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California Form 700- Statement of Economic Interests</w:t>
      </w:r>
    </w:p>
    <w:p w:rsidR="00000000" w:rsidDel="00000000" w:rsidP="00000000" w:rsidRDefault="00000000" w:rsidRPr="00000000" w14:paraId="0000002A">
      <w:pPr>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ab/>
      </w:r>
      <w:r w:rsidDel="00000000" w:rsidR="00000000" w:rsidRPr="00000000">
        <w:rPr>
          <w:rFonts w:ascii="Lato" w:cs="Lato" w:eastAsia="Lato" w:hAnsi="Lato"/>
          <w:rtl w:val="0"/>
        </w:rPr>
        <w:tab/>
        <w:tab/>
      </w:r>
    </w:p>
    <w:p w:rsidR="00000000" w:rsidDel="00000000" w:rsidP="00000000" w:rsidRDefault="00000000" w:rsidRPr="00000000" w14:paraId="0000002B">
      <w:pPr>
        <w:spacing w:line="240" w:lineRule="auto"/>
        <w:rPr>
          <w:rFonts w:ascii="Lato" w:cs="Lato" w:eastAsia="Lato" w:hAnsi="Lato"/>
          <w:i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C">
      <w:pPr>
        <w:spacing w:line="240" w:lineRule="auto"/>
        <w:rPr>
          <w:rFonts w:ascii="Lato" w:cs="Lato" w:eastAsia="Lato" w:hAnsi="Lato"/>
        </w:rPr>
      </w:pPr>
      <w:r w:rsidDel="00000000" w:rsidR="00000000" w:rsidRPr="00000000">
        <w:rPr>
          <w:rFonts w:ascii="Lato" w:cs="Lato" w:eastAsia="Lato" w:hAnsi="Lato"/>
          <w:rtl w:val="0"/>
        </w:rPr>
        <w:tab/>
        <w:t xml:space="preserve">10.1</w:t>
        <w:tab/>
        <w:t xml:space="preserve">Consider approval of Comprehensive Safe School Plan 2019-2020</w:t>
      </w:r>
    </w:p>
    <w:p w:rsidR="00000000" w:rsidDel="00000000" w:rsidP="00000000" w:rsidRDefault="00000000" w:rsidRPr="00000000" w14:paraId="0000002D">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Annual requirement</w:t>
      </w:r>
    </w:p>
    <w:p w:rsidR="00000000" w:rsidDel="00000000" w:rsidP="00000000" w:rsidRDefault="00000000" w:rsidRPr="00000000" w14:paraId="0000002E">
      <w:pPr>
        <w:spacing w:line="240" w:lineRule="auto"/>
        <w:ind w:left="720" w:firstLine="0"/>
        <w:rPr>
          <w:rFonts w:ascii="Lato" w:cs="Lato" w:eastAsia="Lato" w:hAnsi="Lato"/>
        </w:rPr>
      </w:pPr>
      <w:r w:rsidDel="00000000" w:rsidR="00000000" w:rsidRPr="00000000">
        <w:rPr>
          <w:rFonts w:ascii="Lato" w:cs="Lato" w:eastAsia="Lato" w:hAnsi="Lato"/>
          <w:rtl w:val="0"/>
        </w:rPr>
        <w:t xml:space="preserve">10.2</w:t>
        <w:tab/>
        <w:t xml:space="preserve">Consider certification of  corrective action plan for 2018-2019 audit findings</w:t>
      </w:r>
    </w:p>
    <w:p w:rsidR="00000000" w:rsidDel="00000000" w:rsidP="00000000" w:rsidRDefault="00000000" w:rsidRPr="00000000" w14:paraId="0000002F">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The certified corrective action plan must be submitted to HCOE</w:t>
      </w:r>
    </w:p>
    <w:p w:rsidR="00000000" w:rsidDel="00000000" w:rsidP="00000000" w:rsidRDefault="00000000" w:rsidRPr="00000000" w14:paraId="00000030">
      <w:pPr>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10.3</w:t>
        <w:tab/>
        <w:t xml:space="preserve">Consider approval of BP 1700.1</w:t>
      </w:r>
    </w:p>
    <w:p w:rsidR="00000000" w:rsidDel="00000000" w:rsidP="00000000" w:rsidRDefault="00000000" w:rsidRPr="00000000" w14:paraId="00000031">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Moving a School Bus Stop to Accomodate a Local Business</w:t>
      </w:r>
    </w:p>
    <w:p w:rsidR="00000000" w:rsidDel="00000000" w:rsidP="00000000" w:rsidRDefault="00000000" w:rsidRPr="00000000" w14:paraId="00000032">
      <w:pPr>
        <w:spacing w:line="240" w:lineRule="auto"/>
        <w:ind w:left="0" w:firstLine="0"/>
        <w:rPr>
          <w:rFonts w:ascii="Lato" w:cs="Lato" w:eastAsia="Lato" w:hAnsi="Lato"/>
          <w:i w:val="1"/>
        </w:rPr>
      </w:pPr>
      <w:r w:rsidDel="00000000" w:rsidR="00000000" w:rsidRPr="00000000">
        <w:rPr>
          <w:rFonts w:ascii="Lato" w:cs="Lato" w:eastAsia="Lato" w:hAnsi="Lato"/>
          <w:i w:val="1"/>
          <w:rtl w:val="0"/>
        </w:rPr>
        <w:tab/>
      </w:r>
    </w:p>
    <w:p w:rsidR="00000000" w:rsidDel="00000000" w:rsidP="00000000" w:rsidRDefault="00000000" w:rsidRPr="00000000" w14:paraId="00000033">
      <w:pPr>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34">
      <w:pPr>
        <w:spacing w:line="240" w:lineRule="auto"/>
        <w:rPr>
          <w:rFonts w:ascii="Lato" w:cs="Lato" w:eastAsia="Lato" w:hAnsi="Lato"/>
          <w:b w:val="1"/>
        </w:rPr>
      </w:pPr>
      <w:r w:rsidDel="00000000" w:rsidR="00000000" w:rsidRPr="00000000">
        <w:rPr>
          <w:rFonts w:ascii="Lato" w:cs="Lato" w:eastAsia="Lato" w:hAnsi="Lato"/>
          <w:b w:val="1"/>
          <w:rtl w:val="0"/>
        </w:rPr>
        <w:t xml:space="preserve">11.0</w:t>
        <w:tab/>
        <w:t xml:space="preserve">Superintendent’s Report</w:t>
      </w:r>
    </w:p>
    <w:p w:rsidR="00000000" w:rsidDel="00000000" w:rsidP="00000000" w:rsidRDefault="00000000" w:rsidRPr="00000000" w14:paraId="00000035">
      <w:pPr>
        <w:spacing w:line="240" w:lineRule="auto"/>
        <w:rPr>
          <w:rFonts w:ascii="Lato" w:cs="Lato" w:eastAsia="Lato" w:hAnsi="Lato"/>
        </w:rPr>
      </w:pPr>
      <w:r w:rsidDel="00000000" w:rsidR="00000000" w:rsidRPr="00000000">
        <w:rPr>
          <w:rFonts w:ascii="Lato" w:cs="Lato" w:eastAsia="Lato" w:hAnsi="Lato"/>
          <w:rtl w:val="0"/>
        </w:rPr>
        <w:tab/>
        <w:tab/>
        <w:tab/>
      </w:r>
    </w:p>
    <w:p w:rsidR="00000000" w:rsidDel="00000000" w:rsidP="00000000" w:rsidRDefault="00000000" w:rsidRPr="00000000" w14:paraId="00000036">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37">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8">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March 12, 2020</w:t>
      </w:r>
    </w:p>
    <w:p w:rsidR="00000000" w:rsidDel="00000000" w:rsidP="00000000" w:rsidRDefault="00000000" w:rsidRPr="00000000" w14:paraId="0000003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